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F1A0C" w14:textId="77777777" w:rsidR="00871554" w:rsidRDefault="00871554" w:rsidP="00B20875">
      <w:pPr>
        <w:pStyle w:val="Title"/>
      </w:pPr>
    </w:p>
    <w:p w14:paraId="1F745D16" w14:textId="4E23E05F" w:rsidR="00871554" w:rsidRDefault="00871554" w:rsidP="00871554">
      <w:pPr>
        <w:pStyle w:val="Title"/>
      </w:pPr>
      <w:r>
        <w:t xml:space="preserve">DownREITs </w:t>
      </w:r>
    </w:p>
    <w:p w14:paraId="62C26B1C" w14:textId="50F9EFE1" w:rsidR="00B20875" w:rsidRDefault="00B20875" w:rsidP="00871554">
      <w:pPr>
        <w:pStyle w:val="Title"/>
      </w:pPr>
      <w:r>
        <w:t>Unlock Value. Preserve Wealth.</w:t>
      </w:r>
    </w:p>
    <w:p w14:paraId="51A0B520" w14:textId="77777777" w:rsidR="00B20875" w:rsidRDefault="00B20875" w:rsidP="00B20875">
      <w:pPr>
        <w:pStyle w:val="Heading1"/>
      </w:pPr>
      <w:r>
        <w:t>The Case for DownREITs</w:t>
      </w:r>
    </w:p>
    <w:p w14:paraId="7AD3528B" w14:textId="256C9519" w:rsidR="00B20875" w:rsidRPr="00E90D4A" w:rsidRDefault="00B20875" w:rsidP="00B20875">
      <w:pPr>
        <w:rPr>
          <w:sz w:val="22"/>
          <w:szCs w:val="22"/>
        </w:rPr>
      </w:pPr>
      <w:r w:rsidRPr="00E90D4A">
        <w:rPr>
          <w:sz w:val="22"/>
          <w:szCs w:val="22"/>
        </w:rPr>
        <w:t>For senior housing owners, a DownREIT is more than a transaction—it’s a strategy to turn years of hard-earned equity into liquidity, flexibility, and lasting value.</w:t>
      </w:r>
    </w:p>
    <w:p w14:paraId="533CDAE9" w14:textId="4DD148A2" w:rsidR="00B20875" w:rsidRDefault="00B20875" w:rsidP="00B20875">
      <w:pPr>
        <w:rPr>
          <w:sz w:val="22"/>
          <w:szCs w:val="22"/>
        </w:rPr>
      </w:pPr>
      <w:r w:rsidRPr="00E90D4A">
        <w:rPr>
          <w:sz w:val="22"/>
          <w:szCs w:val="22"/>
        </w:rPr>
        <w:t xml:space="preserve">Instead of selling outright or navigating a complicated 1031 exchange, owners can contribute their properties into an LTC-structured </w:t>
      </w:r>
      <w:r w:rsidR="004D5B86" w:rsidRPr="00E90D4A">
        <w:rPr>
          <w:sz w:val="22"/>
          <w:szCs w:val="22"/>
        </w:rPr>
        <w:t>DownREIT</w:t>
      </w:r>
      <w:r w:rsidRPr="00E90D4A">
        <w:rPr>
          <w:sz w:val="22"/>
          <w:szCs w:val="22"/>
        </w:rPr>
        <w:t>—unlocking value without triggering immediate taxes or losing control.</w:t>
      </w:r>
    </w:p>
    <w:p w14:paraId="38376794" w14:textId="60C22AED" w:rsidR="00E90D4A" w:rsidRPr="00E90D4A" w:rsidRDefault="00DA624F" w:rsidP="00B20875">
      <w:pPr>
        <w:rPr>
          <w:sz w:val="22"/>
          <w:szCs w:val="22"/>
        </w:rPr>
      </w:pPr>
      <w:r w:rsidRPr="007F7DA7">
        <w:rPr>
          <w:sz w:val="22"/>
          <w:szCs w:val="22"/>
          <w:highlight w:val="yellow"/>
        </w:rPr>
        <w:t>&lt;maybe a call out</w:t>
      </w:r>
      <w:r w:rsidR="007F7DA7">
        <w:rPr>
          <w:sz w:val="22"/>
          <w:szCs w:val="22"/>
          <w:highlight w:val="yellow"/>
        </w:rPr>
        <w:t>, or some type of highlight?</w:t>
      </w:r>
      <w:r w:rsidRPr="007F7DA7">
        <w:rPr>
          <w:sz w:val="22"/>
          <w:szCs w:val="22"/>
          <w:highlight w:val="yellow"/>
        </w:rPr>
        <w:t>?&gt;</w:t>
      </w:r>
      <w:r>
        <w:rPr>
          <w:sz w:val="22"/>
          <w:szCs w:val="22"/>
        </w:rPr>
        <w:br/>
      </w:r>
      <w:r w:rsidR="00E90D4A" w:rsidRPr="00E90D4A">
        <w:rPr>
          <w:sz w:val="22"/>
          <w:szCs w:val="22"/>
        </w:rPr>
        <w:t>DownREITs offer a proven, tax-efficient pathway—allowing owners to monetize assets at fair market value, defer gains, secure predictable income, and enhance liquidity through publicly traded shares.</w:t>
      </w:r>
      <w:r>
        <w:rPr>
          <w:sz w:val="22"/>
          <w:szCs w:val="22"/>
        </w:rPr>
        <w:t xml:space="preserve"> </w:t>
      </w:r>
    </w:p>
    <w:p w14:paraId="20BF4877" w14:textId="50E6E1AF" w:rsidR="00B20875" w:rsidRDefault="00B20875" w:rsidP="00B20875">
      <w:pPr>
        <w:pStyle w:val="Heading1"/>
      </w:pPr>
      <w:r>
        <w:t>Why DownREITs Matter Now</w:t>
      </w:r>
    </w:p>
    <w:p w14:paraId="531DE13D" w14:textId="77777777" w:rsidR="00B20875" w:rsidRDefault="00B20875" w:rsidP="00B20875">
      <w:r>
        <w:rPr>
          <w:color w:val="3C3C3C"/>
          <w:sz w:val="22"/>
        </w:rPr>
        <w:t>The senior housing industry is at an inflection point. Demographic tailwinds are accelerating demand for quality care environments, while many long-time owners hold significant unrealized gains in legacy assets. For these owners, the question isn’t whether to unlock value – it’s how to do so without sacrificing wealth to taxes or getting trapped in an illiquid exchange.</w:t>
      </w:r>
    </w:p>
    <w:p w14:paraId="1C2B53B4" w14:textId="77777777" w:rsidR="00B20875" w:rsidRDefault="00B20875" w:rsidP="00B20875"/>
    <w:p w14:paraId="62B88556" w14:textId="36539B2A" w:rsidR="00B20875" w:rsidRDefault="007F7DA7" w:rsidP="00B20875">
      <w:pPr>
        <w:pStyle w:val="Heading1"/>
      </w:pPr>
      <w:r>
        <w:t>DownREITs Offer</w:t>
      </w:r>
    </w:p>
    <w:p w14:paraId="1469149C" w14:textId="77777777" w:rsidR="00B20875" w:rsidRDefault="00B20875" w:rsidP="00B20875">
      <w:pPr>
        <w:pStyle w:val="ListBullet"/>
        <w:tabs>
          <w:tab w:val="num" w:pos="360"/>
        </w:tabs>
      </w:pPr>
      <w:r>
        <w:t>Tax deferral on appreciated real estate</w:t>
      </w:r>
    </w:p>
    <w:p w14:paraId="1E4863FD" w14:textId="77777777" w:rsidR="00B20875" w:rsidRDefault="00B20875" w:rsidP="00B20875">
      <w:pPr>
        <w:pStyle w:val="ListBullet"/>
        <w:tabs>
          <w:tab w:val="num" w:pos="360"/>
        </w:tabs>
      </w:pPr>
      <w:r>
        <w:t>Predictable income aligned with LTC’s dividend performance</w:t>
      </w:r>
    </w:p>
    <w:p w14:paraId="5A30A70B" w14:textId="6AF124E8" w:rsidR="00B20875" w:rsidRDefault="00B20875" w:rsidP="00B20875">
      <w:pPr>
        <w:pStyle w:val="ListBullet"/>
        <w:tabs>
          <w:tab w:val="num" w:pos="360"/>
        </w:tabs>
      </w:pPr>
      <w:r>
        <w:t xml:space="preserve">Liquidity and flexibility through </w:t>
      </w:r>
      <w:r w:rsidR="00CD2C4F">
        <w:t>the option</w:t>
      </w:r>
      <w:r>
        <w:t xml:space="preserve"> to</w:t>
      </w:r>
      <w:r w:rsidR="00CD2C4F">
        <w:t xml:space="preserve"> convert units into</w:t>
      </w:r>
      <w:r>
        <w:t xml:space="preserve"> publicly traded shares</w:t>
      </w:r>
    </w:p>
    <w:p w14:paraId="17852B70" w14:textId="77777777" w:rsidR="00B20875" w:rsidRDefault="00B20875" w:rsidP="00B20875">
      <w:pPr>
        <w:pStyle w:val="ListBullet"/>
        <w:tabs>
          <w:tab w:val="num" w:pos="360"/>
        </w:tabs>
      </w:pPr>
      <w:r>
        <w:t>Estate planning advantages with potential step-up in basis for heirs</w:t>
      </w:r>
    </w:p>
    <w:p w14:paraId="6C138F08" w14:textId="5AE76F00" w:rsidR="00CD2C4F" w:rsidRDefault="00CD2C4F" w:rsidP="00B20875">
      <w:pPr>
        <w:pStyle w:val="ListBullet"/>
        <w:tabs>
          <w:tab w:val="num" w:pos="360"/>
        </w:tabs>
      </w:pPr>
      <w:r>
        <w:t>Diversification across LTC’s nationwide senior housing portfolio</w:t>
      </w:r>
    </w:p>
    <w:p w14:paraId="7FD7C9E3" w14:textId="77777777" w:rsidR="00B20875" w:rsidRDefault="00B20875" w:rsidP="00B20875"/>
    <w:p w14:paraId="7F701AA4" w14:textId="77777777" w:rsidR="007F152E" w:rsidRDefault="007F152E" w:rsidP="00B20875"/>
    <w:p w14:paraId="43D6BB9B" w14:textId="77777777" w:rsidR="007F152E" w:rsidRDefault="007F152E" w:rsidP="00B20875"/>
    <w:p w14:paraId="25711C16" w14:textId="77777777" w:rsidR="007F152E" w:rsidRDefault="007F152E" w:rsidP="00B20875"/>
    <w:p w14:paraId="1F8A9AFF" w14:textId="77777777" w:rsidR="007F152E" w:rsidRDefault="007F152E" w:rsidP="00B20875"/>
    <w:p w14:paraId="7BBA9325" w14:textId="7F4F4803" w:rsidR="00B20875" w:rsidRDefault="007F152E" w:rsidP="007F152E">
      <w:pPr>
        <w:pStyle w:val="Heading1"/>
      </w:pPr>
      <w:r>
        <w:t>How DownREITs Work</w:t>
      </w:r>
    </w:p>
    <w:tbl>
      <w:tblPr>
        <w:tblStyle w:val="TableGrid"/>
        <w:tblpPr w:leftFromText="180" w:rightFromText="180" w:vertAnchor="text" w:horzAnchor="margin" w:tblpY="136"/>
        <w:tblW w:w="9112" w:type="dxa"/>
        <w:tblLook w:val="04A0" w:firstRow="1" w:lastRow="0" w:firstColumn="1" w:lastColumn="0" w:noHBand="0" w:noVBand="1"/>
      </w:tblPr>
      <w:tblGrid>
        <w:gridCol w:w="1876"/>
        <w:gridCol w:w="1779"/>
        <w:gridCol w:w="1806"/>
        <w:gridCol w:w="1777"/>
        <w:gridCol w:w="1874"/>
      </w:tblGrid>
      <w:tr w:rsidR="007F152E" w14:paraId="74FFC9E7" w14:textId="77777777" w:rsidTr="00A2103E">
        <w:trPr>
          <w:trHeight w:val="972"/>
        </w:trPr>
        <w:tc>
          <w:tcPr>
            <w:tcW w:w="1876" w:type="dxa"/>
          </w:tcPr>
          <w:p w14:paraId="022FFC66" w14:textId="77777777" w:rsidR="007F152E" w:rsidRDefault="007F152E" w:rsidP="00A2103E">
            <w:pPr>
              <w:pStyle w:val="ListNumber"/>
              <w:numPr>
                <w:ilvl w:val="0"/>
                <w:numId w:val="0"/>
              </w:numPr>
            </w:pPr>
            <w:r>
              <w:t>CONTRIBUTION</w:t>
            </w:r>
          </w:p>
        </w:tc>
        <w:tc>
          <w:tcPr>
            <w:tcW w:w="1779" w:type="dxa"/>
          </w:tcPr>
          <w:p w14:paraId="05F28A55" w14:textId="77777777" w:rsidR="007F152E" w:rsidRDefault="007F152E" w:rsidP="00A2103E">
            <w:pPr>
              <w:pStyle w:val="ListNumber"/>
              <w:numPr>
                <w:ilvl w:val="0"/>
                <w:numId w:val="0"/>
              </w:numPr>
            </w:pPr>
            <w:r>
              <w:t>EXCHANGE</w:t>
            </w:r>
          </w:p>
        </w:tc>
        <w:tc>
          <w:tcPr>
            <w:tcW w:w="1806" w:type="dxa"/>
          </w:tcPr>
          <w:p w14:paraId="44B197FA" w14:textId="77777777" w:rsidR="007F152E" w:rsidRDefault="007F152E" w:rsidP="00A2103E">
            <w:pPr>
              <w:pStyle w:val="ListNumber"/>
              <w:numPr>
                <w:ilvl w:val="0"/>
                <w:numId w:val="0"/>
              </w:numPr>
            </w:pPr>
            <w:r>
              <w:t>CASH FLOW</w:t>
            </w:r>
          </w:p>
        </w:tc>
        <w:tc>
          <w:tcPr>
            <w:tcW w:w="1777" w:type="dxa"/>
          </w:tcPr>
          <w:p w14:paraId="6C202C06" w14:textId="77777777" w:rsidR="007F152E" w:rsidRDefault="007F152E" w:rsidP="00A2103E">
            <w:pPr>
              <w:pStyle w:val="ListNumber"/>
              <w:numPr>
                <w:ilvl w:val="0"/>
                <w:numId w:val="0"/>
              </w:numPr>
            </w:pPr>
            <w:r>
              <w:t>FLEXIBILITY</w:t>
            </w:r>
          </w:p>
        </w:tc>
        <w:tc>
          <w:tcPr>
            <w:tcW w:w="1874" w:type="dxa"/>
          </w:tcPr>
          <w:p w14:paraId="2945C769" w14:textId="77777777" w:rsidR="007F152E" w:rsidRDefault="007F152E" w:rsidP="00A2103E">
            <w:pPr>
              <w:pStyle w:val="ListNumber"/>
              <w:numPr>
                <w:ilvl w:val="0"/>
                <w:numId w:val="0"/>
              </w:numPr>
            </w:pPr>
            <w:r>
              <w:t>REDUCED MANAGEMENT BURDEN</w:t>
            </w:r>
          </w:p>
        </w:tc>
      </w:tr>
      <w:tr w:rsidR="007F152E" w14:paraId="2AD34006" w14:textId="77777777" w:rsidTr="00A2103E">
        <w:trPr>
          <w:trHeight w:val="3232"/>
        </w:trPr>
        <w:tc>
          <w:tcPr>
            <w:tcW w:w="1876" w:type="dxa"/>
          </w:tcPr>
          <w:p w14:paraId="13F19D0E" w14:textId="77777777" w:rsidR="007F152E" w:rsidRDefault="007F152E" w:rsidP="00A2103E">
            <w:pPr>
              <w:pStyle w:val="ListNumber"/>
              <w:numPr>
                <w:ilvl w:val="0"/>
                <w:numId w:val="0"/>
              </w:numPr>
            </w:pPr>
            <w:r>
              <w:t>Owner contributes real property to a specifically formed LTC operating partnership</w:t>
            </w:r>
          </w:p>
        </w:tc>
        <w:tc>
          <w:tcPr>
            <w:tcW w:w="1779" w:type="dxa"/>
          </w:tcPr>
          <w:p w14:paraId="3722D88F" w14:textId="77777777" w:rsidR="007F152E" w:rsidRDefault="007F152E" w:rsidP="00A2103E">
            <w:pPr>
              <w:pStyle w:val="ListNumber"/>
              <w:numPr>
                <w:ilvl w:val="0"/>
                <w:numId w:val="0"/>
              </w:numPr>
            </w:pPr>
            <w:r>
              <w:t>In return, the owner receives operating partnership units, structured to mirror and convertible into REIT shares</w:t>
            </w:r>
          </w:p>
        </w:tc>
        <w:tc>
          <w:tcPr>
            <w:tcW w:w="1806" w:type="dxa"/>
          </w:tcPr>
          <w:p w14:paraId="4EDAC1D0" w14:textId="77777777" w:rsidR="007F152E" w:rsidRDefault="007F152E" w:rsidP="00A2103E">
            <w:pPr>
              <w:pStyle w:val="ListNumber"/>
              <w:numPr>
                <w:ilvl w:val="0"/>
                <w:numId w:val="0"/>
              </w:numPr>
            </w:pPr>
            <w:r>
              <w:t>Owner receives cash distributions reflecting LTC’s dividend performance</w:t>
            </w:r>
          </w:p>
        </w:tc>
        <w:tc>
          <w:tcPr>
            <w:tcW w:w="1777" w:type="dxa"/>
          </w:tcPr>
          <w:p w14:paraId="394A1690" w14:textId="77777777" w:rsidR="007F152E" w:rsidRDefault="007F152E" w:rsidP="00A2103E">
            <w:pPr>
              <w:pStyle w:val="ListNumber"/>
              <w:numPr>
                <w:ilvl w:val="0"/>
                <w:numId w:val="0"/>
              </w:numPr>
            </w:pPr>
            <w:r>
              <w:t>After a negotiated period, units can be exchanged for LTC common stock—or held to pass to heirs with stepped-up basis</w:t>
            </w:r>
          </w:p>
        </w:tc>
        <w:tc>
          <w:tcPr>
            <w:tcW w:w="1874" w:type="dxa"/>
          </w:tcPr>
          <w:p w14:paraId="6A506F85" w14:textId="77777777" w:rsidR="007F152E" w:rsidRDefault="007F152E" w:rsidP="00A2103E">
            <w:pPr>
              <w:pStyle w:val="ListNumber"/>
              <w:numPr>
                <w:ilvl w:val="0"/>
                <w:numId w:val="0"/>
              </w:numPr>
            </w:pPr>
            <w:r>
              <w:t>LTC assumes oversight, relieving owners of day-to-day operational responsibilities.</w:t>
            </w:r>
          </w:p>
        </w:tc>
      </w:tr>
    </w:tbl>
    <w:p w14:paraId="70B8F230" w14:textId="77777777" w:rsidR="007F152E" w:rsidRDefault="007F152E" w:rsidP="00B20875"/>
    <w:p w14:paraId="3BF88A8D" w14:textId="15B79052" w:rsidR="00FE687F" w:rsidRDefault="00FE687F" w:rsidP="00FE687F">
      <w:pPr>
        <w:pStyle w:val="Heading1"/>
      </w:pPr>
      <w:r>
        <w:t>DownREIT Advantages vs. Other Options</w:t>
      </w:r>
    </w:p>
    <w:p w14:paraId="4B0C44D6" w14:textId="77777777" w:rsidR="00FE687F" w:rsidRDefault="00FE687F" w:rsidP="00B208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0"/>
        <w:gridCol w:w="4320"/>
      </w:tblGrid>
      <w:tr w:rsidR="00FE687F" w:rsidRPr="00B009B5" w14:paraId="7EF4DAC0" w14:textId="77777777" w:rsidTr="00A2103E">
        <w:tc>
          <w:tcPr>
            <w:tcW w:w="4320" w:type="dxa"/>
          </w:tcPr>
          <w:p w14:paraId="1B14919E" w14:textId="77777777" w:rsidR="00FE687F" w:rsidRPr="00B009B5" w:rsidRDefault="00FE687F" w:rsidP="00A2103E">
            <w:pPr>
              <w:rPr>
                <w:b/>
                <w:bCs/>
              </w:rPr>
            </w:pPr>
            <w:r w:rsidRPr="00B009B5">
              <w:rPr>
                <w:b/>
                <w:bCs/>
              </w:rPr>
              <w:t>Option</w:t>
            </w:r>
          </w:p>
        </w:tc>
        <w:tc>
          <w:tcPr>
            <w:tcW w:w="4320" w:type="dxa"/>
          </w:tcPr>
          <w:p w14:paraId="7F230E9F" w14:textId="77777777" w:rsidR="00FE687F" w:rsidRPr="00B009B5" w:rsidRDefault="00FE687F" w:rsidP="00A2103E">
            <w:pPr>
              <w:rPr>
                <w:b/>
                <w:bCs/>
              </w:rPr>
            </w:pPr>
            <w:r w:rsidRPr="00B009B5">
              <w:rPr>
                <w:b/>
                <w:bCs/>
              </w:rPr>
              <w:t>Considerations</w:t>
            </w:r>
          </w:p>
        </w:tc>
      </w:tr>
      <w:tr w:rsidR="00FE687F" w14:paraId="74D30C21" w14:textId="77777777" w:rsidTr="00A2103E">
        <w:tc>
          <w:tcPr>
            <w:tcW w:w="4320" w:type="dxa"/>
          </w:tcPr>
          <w:p w14:paraId="1278F4A9" w14:textId="77777777" w:rsidR="00FE687F" w:rsidRDefault="00FE687F" w:rsidP="00A2103E">
            <w:r>
              <w:t>1031 Exchange</w:t>
            </w:r>
          </w:p>
        </w:tc>
        <w:tc>
          <w:tcPr>
            <w:tcW w:w="4320" w:type="dxa"/>
          </w:tcPr>
          <w:p w14:paraId="454EA314" w14:textId="77777777" w:rsidR="00FE687F" w:rsidRDefault="00FE687F" w:rsidP="00A2103E">
            <w:r>
              <w:t>Often cumbersome, risky, and illiquid.</w:t>
            </w:r>
          </w:p>
        </w:tc>
      </w:tr>
      <w:tr w:rsidR="00FE687F" w14:paraId="5E58E940" w14:textId="77777777" w:rsidTr="00A2103E">
        <w:tc>
          <w:tcPr>
            <w:tcW w:w="4320" w:type="dxa"/>
          </w:tcPr>
          <w:p w14:paraId="5F855455" w14:textId="77777777" w:rsidR="00FE687F" w:rsidRDefault="00FE687F" w:rsidP="00A2103E">
            <w:r>
              <w:t>Direct Sale</w:t>
            </w:r>
          </w:p>
        </w:tc>
        <w:tc>
          <w:tcPr>
            <w:tcW w:w="4320" w:type="dxa"/>
          </w:tcPr>
          <w:p w14:paraId="190134F2" w14:textId="77777777" w:rsidR="00FE687F" w:rsidRDefault="00FE687F" w:rsidP="00A2103E">
            <w:r>
              <w:t>Immediate tax hit can greatly erode owner’s net value.</w:t>
            </w:r>
          </w:p>
        </w:tc>
      </w:tr>
      <w:tr w:rsidR="00FE687F" w14:paraId="7EE19A10" w14:textId="77777777" w:rsidTr="00A2103E">
        <w:tc>
          <w:tcPr>
            <w:tcW w:w="4320" w:type="dxa"/>
          </w:tcPr>
          <w:p w14:paraId="13F92514" w14:textId="77777777" w:rsidR="00FE687F" w:rsidRDefault="00FE687F" w:rsidP="00A2103E">
            <w:r>
              <w:t>UPREIT Structure</w:t>
            </w:r>
          </w:p>
        </w:tc>
        <w:tc>
          <w:tcPr>
            <w:tcW w:w="4320" w:type="dxa"/>
          </w:tcPr>
          <w:p w14:paraId="58102829" w14:textId="77777777" w:rsidR="00FE687F" w:rsidRDefault="00FE687F" w:rsidP="00A2103E">
            <w:r>
              <w:t>More rigid and less aligned with individual needs.</w:t>
            </w:r>
          </w:p>
        </w:tc>
      </w:tr>
    </w:tbl>
    <w:p w14:paraId="6265188E" w14:textId="77777777" w:rsidR="00FE687F" w:rsidRDefault="00FE687F" w:rsidP="00B20875"/>
    <w:p w14:paraId="53641092" w14:textId="77777777" w:rsidR="007F7DA7" w:rsidRDefault="007F7DA7" w:rsidP="00B20875">
      <w:pPr>
        <w:pStyle w:val="Heading1"/>
      </w:pPr>
    </w:p>
    <w:p w14:paraId="2A9AE21F" w14:textId="13F5AFC0" w:rsidR="00B20875" w:rsidRDefault="00B20875" w:rsidP="00B20875">
      <w:pPr>
        <w:pStyle w:val="Heading1"/>
      </w:pPr>
      <w:r>
        <w:t>The LTC Advantage</w:t>
      </w:r>
    </w:p>
    <w:p w14:paraId="07046E77" w14:textId="06907145" w:rsidR="00B20875" w:rsidRDefault="00B20875" w:rsidP="00B20875">
      <w:r>
        <w:t>LTC</w:t>
      </w:r>
      <w:r w:rsidR="004D5B86">
        <w:t xml:space="preserve"> is a relationship-driven partner</w:t>
      </w:r>
      <w:r>
        <w:t xml:space="preserve"> combin</w:t>
      </w:r>
      <w:r w:rsidR="004D5B86">
        <w:t>ing</w:t>
      </w:r>
      <w:r>
        <w:t xml:space="preserve"> deep industry expertise with creative financial solution</w:t>
      </w:r>
      <w:r w:rsidR="004D5B86">
        <w:t>s</w:t>
      </w:r>
      <w:r>
        <w:t>. With nearly 200 properties in 25 states, we understand the market forces, financing tools, and long-term value drivers that matter most.</w:t>
      </w:r>
    </w:p>
    <w:p w14:paraId="500E8034" w14:textId="7A8D0745" w:rsidR="00B20875" w:rsidRDefault="00B20875" w:rsidP="00B20875">
      <w:r>
        <w:t xml:space="preserve">Every LTC DownREIT is </w:t>
      </w:r>
      <w:r w:rsidR="007F7DA7">
        <w:t>customized structured</w:t>
      </w:r>
      <w:r>
        <w:t xml:space="preserve"> around your objectives to balance liquidity, income, and legacy planning. We move quickly, collaborate closely, and deliver solutions that simplify complexity and maximize outcomes</w:t>
      </w:r>
      <w:r w:rsidR="004D5B86">
        <w:t>, while providing peace of mind.</w:t>
      </w:r>
    </w:p>
    <w:p w14:paraId="575934D7" w14:textId="2BC6F47F" w:rsidR="00B20875" w:rsidRDefault="00B20875" w:rsidP="00B20875">
      <w:r>
        <w:t xml:space="preserve">When you partner with LTC, you’re not just exchanging </w:t>
      </w:r>
      <w:r w:rsidR="007F7DA7">
        <w:t xml:space="preserve">property, </w:t>
      </w:r>
      <w:r>
        <w:t>you’re unlocking a smarter, more strategic path forward.</w:t>
      </w:r>
    </w:p>
    <w:p w14:paraId="4015E8CF" w14:textId="77777777" w:rsidR="00B20875" w:rsidRDefault="00B20875" w:rsidP="00B20875"/>
    <w:p w14:paraId="138D910E" w14:textId="3E12A9E2" w:rsidR="00B20875" w:rsidRDefault="00B20875" w:rsidP="002A6B85">
      <w:pPr>
        <w:pStyle w:val="Heading1"/>
      </w:pPr>
      <w:r>
        <w:t>Let’s Talk Growth, Liquidity and Legacy.</w:t>
      </w:r>
    </w:p>
    <w:p w14:paraId="0468503C" w14:textId="7E8EBDB2" w:rsidR="00B20875" w:rsidRDefault="002A6B85" w:rsidP="00B20875">
      <w:r>
        <w:t xml:space="preserve">Contact </w:t>
      </w:r>
      <w:r w:rsidR="000A220D">
        <w:t>Dave or Mike</w:t>
      </w:r>
      <w:r>
        <w:t xml:space="preserve"> for more information.</w:t>
      </w:r>
    </w:p>
    <w:p w14:paraId="68A8E75D" w14:textId="18A037E2" w:rsidR="00A541B0" w:rsidRDefault="00A541B0">
      <w:r w:rsidRPr="00011D15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301C117" wp14:editId="5773622E">
                <wp:simplePos x="0" y="0"/>
                <wp:positionH relativeFrom="column">
                  <wp:posOffset>2863850</wp:posOffset>
                </wp:positionH>
                <wp:positionV relativeFrom="paragraph">
                  <wp:posOffset>287655</wp:posOffset>
                </wp:positionV>
                <wp:extent cx="2781300" cy="1404620"/>
                <wp:effectExtent l="0" t="0" r="19050" b="27940"/>
                <wp:wrapSquare wrapText="bothSides"/>
                <wp:docPr id="10636669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1D649" w14:textId="77777777" w:rsidR="002A6B85" w:rsidRDefault="002A6B85" w:rsidP="002A6B85">
                            <w:r>
                              <w:t>Mike Bowden: SVP, Investments</w:t>
                            </w:r>
                            <w:r>
                              <w:br/>
                            </w:r>
                            <w:hyperlink r:id="rId7" w:history="1">
                              <w:r w:rsidRPr="00663706">
                                <w:rPr>
                                  <w:rStyle w:val="Hyperlink"/>
                                </w:rPr>
                                <w:t>mike.bowden@ltcreit.com</w:t>
                              </w:r>
                            </w:hyperlink>
                            <w:r>
                              <w:br/>
                            </w:r>
                            <w:r w:rsidRPr="00341C54">
                              <w:t>954.593.5691 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01C1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5.5pt;margin-top:22.65pt;width:219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">
                <v:textbox style="mso-fit-shape-to-text:t">
                  <w:txbxContent>
                    <w:p w14:paraId="18D1D649" w14:textId="77777777" w:rsidR="002A6B85" w:rsidRDefault="002A6B85" w:rsidP="002A6B85">
                      <w:r>
                        <w:t>Mike Bowden: SVP, Investments</w:t>
                      </w:r>
                      <w:r>
                        <w:br/>
                      </w:r>
                      <w:hyperlink r:id="rId10" w:history="1">
                        <w:r w:rsidRPr="00663706">
                          <w:rPr>
                            <w:rStyle w:val="Hyperlink"/>
                          </w:rPr>
                          <w:t>mike.bowden@ltcreit.com</w:t>
                        </w:r>
                      </w:hyperlink>
                      <w:r>
                        <w:br/>
                      </w:r>
                      <w:r w:rsidRPr="00341C54">
                        <w:t>954.593.5691 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11D15">
        <w:rPr>
          <w:rStyle w:val="Heading8Char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A7BC5C0" wp14:editId="4BDBCC92">
                <wp:simplePos x="0" y="0"/>
                <wp:positionH relativeFrom="margin">
                  <wp:posOffset>-285750</wp:posOffset>
                </wp:positionH>
                <wp:positionV relativeFrom="paragraph">
                  <wp:posOffset>287655</wp:posOffset>
                </wp:positionV>
                <wp:extent cx="2070100" cy="1404620"/>
                <wp:effectExtent l="0" t="0" r="25400" b="27940"/>
                <wp:wrapSquare wrapText="bothSides"/>
                <wp:docPr id="11937719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3DE0F" w14:textId="77777777" w:rsidR="002A6B85" w:rsidRDefault="002A6B85" w:rsidP="002A6B85">
                            <w:r>
                              <w:t>Dave Boitano: CIO</w:t>
                            </w:r>
                            <w:r>
                              <w:br/>
                            </w:r>
                            <w:hyperlink r:id="rId11" w:history="1">
                              <w:r w:rsidRPr="00663706">
                                <w:rPr>
                                  <w:rStyle w:val="Hyperlink"/>
                                </w:rPr>
                                <w:t>dave.boitano@ltcreit.com</w:t>
                              </w:r>
                            </w:hyperlink>
                            <w:r>
                              <w:br/>
                            </w:r>
                            <w:r w:rsidRPr="00341C54">
                              <w:t>253.318.2858 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7BC5C0" id="_x0000_s1027" type="#_x0000_t202" style="position:absolute;margin-left:-22.5pt;margin-top:22.65pt;width:163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">
                <v:textbox style="mso-fit-shape-to-text:t">
                  <w:txbxContent>
                    <w:p w14:paraId="27D3DE0F" w14:textId="77777777" w:rsidR="002A6B85" w:rsidRDefault="002A6B85" w:rsidP="002A6B85">
                      <w:r>
                        <w:t>Dave Boitano: CIO</w:t>
                      </w:r>
                      <w:r>
                        <w:br/>
                      </w:r>
                      <w:hyperlink r:id="rId12" w:history="1">
                        <w:r w:rsidRPr="00663706">
                          <w:rPr>
                            <w:rStyle w:val="Hyperlink"/>
                          </w:rPr>
                          <w:t>dave.boitano@ltcreit.com</w:t>
                        </w:r>
                      </w:hyperlink>
                      <w:r>
                        <w:br/>
                      </w:r>
                      <w:r w:rsidRPr="00341C54">
                        <w:t>253.318.2858 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7D5392B" w14:textId="6D5E6955" w:rsidR="00A541B0" w:rsidRDefault="00A541B0"/>
    <w:p w14:paraId="02189637" w14:textId="0E1DA61F" w:rsidR="00A541B0" w:rsidRDefault="00A541B0"/>
    <w:p w14:paraId="411069C2" w14:textId="51450C5E" w:rsidR="00A541B0" w:rsidRDefault="00A541B0"/>
    <w:p w14:paraId="55F9DCBD" w14:textId="7D43444D" w:rsidR="00B20875" w:rsidRDefault="00B20875"/>
    <w:p w14:paraId="60106BB1" w14:textId="77777777" w:rsidR="000D0551" w:rsidRDefault="000D0551" w:rsidP="00A541B0">
      <w:pPr>
        <w:pStyle w:val="Heading1"/>
      </w:pPr>
    </w:p>
    <w:p w14:paraId="353D6ED1" w14:textId="77777777" w:rsidR="000D0551" w:rsidRDefault="000D0551" w:rsidP="00A541B0">
      <w:pPr>
        <w:pStyle w:val="Heading1"/>
      </w:pPr>
    </w:p>
    <w:p w14:paraId="0C99D6F1" w14:textId="71005803" w:rsidR="00A541B0" w:rsidRPr="00985F72" w:rsidRDefault="00A541B0" w:rsidP="00A541B0">
      <w:pPr>
        <w:pStyle w:val="Heading1"/>
      </w:pPr>
      <w:r w:rsidRPr="00985F72">
        <w:t>About LTC</w:t>
      </w:r>
    </w:p>
    <w:p w14:paraId="04D791A7" w14:textId="77777777" w:rsidR="00A541B0" w:rsidRPr="00905C54" w:rsidRDefault="00A541B0" w:rsidP="00A541B0">
      <w:pPr>
        <w:pStyle w:val="NoSpacing"/>
        <w:rPr>
          <w:rFonts w:cs="Times New Roman"/>
        </w:rPr>
      </w:pPr>
      <w:r w:rsidRPr="00905C54">
        <w:rPr>
          <w:rFonts w:cs="Times New Roman"/>
        </w:rPr>
        <w:t xml:space="preserve">LTC is a real estate investment trust (REIT) focused on seniors housing and health care properties, investing through SHOP, triple-net leases, joint ventures, and structured finance solutions. The Company’s portfolio includes </w:t>
      </w:r>
      <w:r w:rsidRPr="00924C40">
        <w:rPr>
          <w:rFonts w:cs="Times New Roman"/>
        </w:rPr>
        <w:t>nearly 200 properties</w:t>
      </w:r>
      <w:r w:rsidRPr="00905C54">
        <w:rPr>
          <w:rFonts w:cs="Times New Roman"/>
        </w:rPr>
        <w:t xml:space="preserve"> throughout the United States. Based on gross real estate investments, </w:t>
      </w:r>
      <w:r>
        <w:rPr>
          <w:rFonts w:cs="Times New Roman"/>
        </w:rPr>
        <w:t xml:space="preserve">more </w:t>
      </w:r>
      <w:r>
        <w:rPr>
          <w:rFonts w:cs="Times New Roman"/>
        </w:rPr>
        <w:lastRenderedPageBreak/>
        <w:t>than 60%</w:t>
      </w:r>
      <w:r w:rsidRPr="00905C54">
        <w:rPr>
          <w:rFonts w:cs="Times New Roman"/>
        </w:rPr>
        <w:t xml:space="preserve">of the Company’s assets are seniors housing communities with the remainder skilled nursing centers. Learn more at </w:t>
      </w:r>
      <w:hyperlink r:id="rId13" w:history="1">
        <w:r w:rsidRPr="00905C54">
          <w:rPr>
            <w:rStyle w:val="Hyperlink"/>
            <w:rFonts w:cs="Times New Roman"/>
          </w:rPr>
          <w:t>www.ltcreit.com</w:t>
        </w:r>
      </w:hyperlink>
      <w:r w:rsidRPr="00905C54">
        <w:rPr>
          <w:rFonts w:cs="Times New Roman"/>
        </w:rPr>
        <w:t>.</w:t>
      </w:r>
    </w:p>
    <w:p w14:paraId="5CFB6CB0" w14:textId="77777777" w:rsidR="00A541B0" w:rsidRDefault="00A541B0" w:rsidP="00A541B0">
      <w:pPr>
        <w:rPr>
          <w:rStyle w:val="Heading3Char"/>
        </w:rPr>
      </w:pPr>
    </w:p>
    <w:p w14:paraId="1A0D5C55" w14:textId="77777777" w:rsidR="000D0551" w:rsidRDefault="000D0551" w:rsidP="00A541B0">
      <w:pPr>
        <w:rPr>
          <w:rStyle w:val="Heading3Char"/>
        </w:rPr>
      </w:pPr>
    </w:p>
    <w:p w14:paraId="33245568" w14:textId="77777777" w:rsidR="000D0551" w:rsidRDefault="000D0551" w:rsidP="00A541B0">
      <w:pPr>
        <w:rPr>
          <w:rStyle w:val="Heading3Char"/>
        </w:rPr>
      </w:pPr>
    </w:p>
    <w:p w14:paraId="34857E8B" w14:textId="77777777" w:rsidR="00A541B0" w:rsidRDefault="00A541B0" w:rsidP="00A541B0">
      <w:r w:rsidRPr="00927155">
        <w:rPr>
          <w:rStyle w:val="Heading3Char"/>
        </w:rPr>
        <w:t>Disclaimer:</w:t>
      </w:r>
      <w:r>
        <w:t xml:space="preserve"> </w:t>
      </w:r>
      <w:r w:rsidRPr="000D0551">
        <w:rPr>
          <w:sz w:val="22"/>
          <w:szCs w:val="22"/>
        </w:rPr>
        <w:t>This document is for informational purposes only and does not constitute legal, tax, or investment advice. Owners should consult their advisors prior to pursuing any transaction.</w:t>
      </w:r>
    </w:p>
    <w:p w14:paraId="0F07B844" w14:textId="77777777" w:rsidR="00A541B0" w:rsidRDefault="00A541B0"/>
    <w:sectPr w:rsidR="00A541B0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0CB98" w14:textId="77777777" w:rsidR="00170B2D" w:rsidRDefault="00170B2D" w:rsidP="00871554">
      <w:pPr>
        <w:spacing w:after="0" w:line="240" w:lineRule="auto"/>
      </w:pPr>
      <w:r>
        <w:separator/>
      </w:r>
    </w:p>
  </w:endnote>
  <w:endnote w:type="continuationSeparator" w:id="0">
    <w:p w14:paraId="00C55D06" w14:textId="77777777" w:rsidR="00170B2D" w:rsidRDefault="00170B2D" w:rsidP="00871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80C8B" w14:textId="44F7240B" w:rsidR="00871554" w:rsidRPr="00871554" w:rsidRDefault="00871554" w:rsidP="00871554">
    <w:pPr>
      <w:pStyle w:val="Footer"/>
      <w:jc w:val="center"/>
      <w:rPr>
        <w:sz w:val="28"/>
        <w:szCs w:val="28"/>
      </w:rPr>
    </w:pPr>
    <w:r w:rsidRPr="00871554">
      <w:rPr>
        <w:sz w:val="28"/>
        <w:szCs w:val="28"/>
      </w:rPr>
      <w:t xml:space="preserve">Your future. Our Capital. LET’S GROW! </w:t>
    </w:r>
    <w:r w:rsidRPr="00871554">
      <w:rPr>
        <w:sz w:val="28"/>
        <w:szCs w:val="28"/>
      </w:rPr>
      <w:tab/>
      <w:t>www.ltcreit.com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41267" w14:textId="77777777" w:rsidR="00170B2D" w:rsidRDefault="00170B2D" w:rsidP="00871554">
      <w:pPr>
        <w:spacing w:after="0" w:line="240" w:lineRule="auto"/>
      </w:pPr>
      <w:r>
        <w:separator/>
      </w:r>
    </w:p>
  </w:footnote>
  <w:footnote w:type="continuationSeparator" w:id="0">
    <w:p w14:paraId="10FC1F9C" w14:textId="77777777" w:rsidR="00170B2D" w:rsidRDefault="00170B2D" w:rsidP="00871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97A45" w14:textId="791A4FE2" w:rsidR="00871554" w:rsidRDefault="0087155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7788FE" wp14:editId="2351F7D1">
          <wp:simplePos x="0" y="0"/>
          <wp:positionH relativeFrom="column">
            <wp:posOffset>-800100</wp:posOffset>
          </wp:positionH>
          <wp:positionV relativeFrom="paragraph">
            <wp:posOffset>-304800</wp:posOffset>
          </wp:positionV>
          <wp:extent cx="1769110" cy="1099542"/>
          <wp:effectExtent l="0" t="0" r="2540" b="5715"/>
          <wp:wrapSquare wrapText="bothSides"/>
          <wp:docPr id="524892942" name="Picture 1" descr="A logo with blue square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4892942" name="Picture 1" descr="A logo with blue squares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9110" cy="10995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93232C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D06BC9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34774646">
    <w:abstractNumId w:val="1"/>
  </w:num>
  <w:num w:numId="2" w16cid:durableId="1446925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75"/>
    <w:rsid w:val="00057B46"/>
    <w:rsid w:val="000A220D"/>
    <w:rsid w:val="000D0551"/>
    <w:rsid w:val="00170B2D"/>
    <w:rsid w:val="002A6B85"/>
    <w:rsid w:val="004D5B86"/>
    <w:rsid w:val="007F152E"/>
    <w:rsid w:val="007F7DA7"/>
    <w:rsid w:val="00871554"/>
    <w:rsid w:val="008C2343"/>
    <w:rsid w:val="00A41E9B"/>
    <w:rsid w:val="00A541B0"/>
    <w:rsid w:val="00B20875"/>
    <w:rsid w:val="00CD2C4F"/>
    <w:rsid w:val="00D25639"/>
    <w:rsid w:val="00D55CBF"/>
    <w:rsid w:val="00DA624F"/>
    <w:rsid w:val="00E90D4A"/>
    <w:rsid w:val="00FE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D55536"/>
  <w15:chartTrackingRefBased/>
  <w15:docId w15:val="{BC976523-1DAF-4200-85F0-8CBA719D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8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08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08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08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08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08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08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8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8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8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8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208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8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8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8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8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8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8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08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8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8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08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08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08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08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08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8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8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0875"/>
    <w:rPr>
      <w:b/>
      <w:bCs/>
      <w:smallCaps/>
      <w:color w:val="0F4761" w:themeColor="accent1" w:themeShade="BF"/>
      <w:spacing w:val="5"/>
    </w:rPr>
  </w:style>
  <w:style w:type="paragraph" w:styleId="ListBullet">
    <w:name w:val="List Bullet"/>
    <w:basedOn w:val="Normal"/>
    <w:uiPriority w:val="99"/>
    <w:unhideWhenUsed/>
    <w:rsid w:val="00B20875"/>
    <w:pPr>
      <w:numPr>
        <w:numId w:val="1"/>
      </w:numPr>
      <w:tabs>
        <w:tab w:val="clear" w:pos="360"/>
      </w:tabs>
      <w:spacing w:after="200" w:line="276" w:lineRule="auto"/>
      <w:contextualSpacing/>
    </w:pPr>
    <w:rPr>
      <w:rFonts w:eastAsiaTheme="minorEastAsia"/>
      <w:kern w:val="0"/>
      <w:sz w:val="22"/>
      <w:szCs w:val="22"/>
      <w14:ligatures w14:val="none"/>
    </w:rPr>
  </w:style>
  <w:style w:type="paragraph" w:styleId="ListNumber">
    <w:name w:val="List Number"/>
    <w:basedOn w:val="Normal"/>
    <w:uiPriority w:val="99"/>
    <w:unhideWhenUsed/>
    <w:rsid w:val="007F152E"/>
    <w:pPr>
      <w:numPr>
        <w:numId w:val="2"/>
      </w:numPr>
      <w:tabs>
        <w:tab w:val="clear" w:pos="360"/>
      </w:tabs>
      <w:spacing w:after="120" w:line="264" w:lineRule="auto"/>
      <w:ind w:left="0" w:firstLine="0"/>
      <w:contextualSpacing/>
    </w:pPr>
    <w:rPr>
      <w:rFonts w:eastAsiaTheme="minorEastAsia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59"/>
    <w:rsid w:val="007F152E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A6B85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A541B0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71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554"/>
  </w:style>
  <w:style w:type="paragraph" w:styleId="Footer">
    <w:name w:val="footer"/>
    <w:basedOn w:val="Normal"/>
    <w:link w:val="FooterChar"/>
    <w:uiPriority w:val="99"/>
    <w:unhideWhenUsed/>
    <w:rsid w:val="00871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l.avanan.click/v2/r01/___http://www.ltcreit.com/___.YXAzOmx0Y3Byb3BlcnRpZXNpbmM6YTpvOjUyMDMzNWJlOGUyMmU2MDk1ODYzODA1YTk3NDNlY2M1Ojc6ZThjMTplOGJiMWE2NGI3YmJhNjMyMGRhZmU3NDMzYjA2OTdiYmRhNmRhMGEzMGM5MDc3MzU1MGEwZGQzNjRlYmE3NjE0OnA6Rjp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ke.bowden@ltcreit.com" TargetMode="External"/><Relationship Id="rId12" Type="http://schemas.openxmlformats.org/officeDocument/2006/relationships/hyperlink" Target="mailto:dave.boitano@ltcreit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ave.boitano@ltcreit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mike.bowden@ltcreit.com" TargetMode="External"/><Relationship Id="rId4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606</Words>
  <Characters>3303</Characters>
  <Application>Microsoft Office Word</Application>
  <DocSecurity>0</DocSecurity>
  <Lines>80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Mandi Hogan</dc:creator>
  <cp:keywords/>
  <dc:description/>
  <cp:lastModifiedBy>Mandi Hogan</cp:lastModifiedBy>
  <cp:revision>9</cp:revision>
  <dcterms:created xsi:type="dcterms:W3CDTF">2025-10-13T19:06:00Z</dcterms:created>
  <dcterms:modified xsi:type="dcterms:W3CDTF">2025-10-14T04:21:00Z</dcterms:modified>
</cp:coreProperties>
</file>